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короновирусной</w:t>
      </w:r>
      <w:proofErr w:type="spellEnd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Предквалификационная</w:t>
      </w:r>
      <w:proofErr w:type="spellEnd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083BF16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proofErr w:type="spellStart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предкалификационной</w:t>
      </w:r>
      <w:proofErr w:type="spellEnd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dwt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заявки с Технической частью необходимо именовать следующим образом: «№ Тендера_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ПКО_краткое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направляемого пакета документов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предквалификационной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заявки с Технической частью необходимо именовать следующим образом: «№ Тендера_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ПКО_краткое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376D50D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редвалификационн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proofErr w:type="spellEnd"/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Техническая часть </w:t>
      </w:r>
      <w:proofErr w:type="spellStart"/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предквалификационной</w:t>
      </w:r>
      <w:proofErr w:type="spellEnd"/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proofErr w:type="spellStart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</w:t>
      </w:r>
      <w:proofErr w:type="spellEnd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 xml:space="preserve">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После получения электронных версий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лификационных</w:t>
      </w:r>
      <w:proofErr w:type="spellEnd"/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заявок проводится </w:t>
      </w:r>
      <w:proofErr w:type="spellStart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</w:t>
      </w:r>
      <w:proofErr w:type="spellEnd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</w:t>
      </w:r>
      <w:proofErr w:type="spellEnd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именовать следующим образом: «№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Тендера_краткое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участника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Тендера_тендерное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proofErr w:type="spellStart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</w:t>
      </w:r>
      <w:proofErr w:type="spellEnd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пакетов с </w:t>
      </w:r>
      <w:proofErr w:type="spellStart"/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  <w:bookmarkStart w:id="0" w:name="_GoBack"/>
      <w:bookmarkEnd w:id="0"/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2F292DC4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B8151C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B8151C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399A9279CB549876302B0C953BF29" ma:contentTypeVersion="13" ma:contentTypeDescription="Create a new document." ma:contentTypeScope="" ma:versionID="d36e222cedabf49b691d7e81b45958a3">
  <xsd:schema xmlns:xsd="http://www.w3.org/2001/XMLSchema" xmlns:xs="http://www.w3.org/2001/XMLSchema" xmlns:p="http://schemas.microsoft.com/office/2006/metadata/properties" xmlns:ns2="e8510b5f-6aa8-4b41-ad21-0333e6d625da" xmlns:ns3="62edf88c-bd47-4408-9cff-6a35ee0b3946" xmlns:ns4="6f5c1268-c313-4c88-a7d8-4dfb6146562e" targetNamespace="http://schemas.microsoft.com/office/2006/metadata/properties" ma:root="true" ma:fieldsID="f7b84816fc71069edcad0bf285521e98" ns2:_="" ns3:_="" ns4:_="">
    <xsd:import namespace="e8510b5f-6aa8-4b41-ad21-0333e6d625da"/>
    <xsd:import namespace="62edf88c-bd47-4408-9cff-6a35ee0b3946"/>
    <xsd:import namespace="6f5c1268-c313-4c88-a7d8-4dfb614656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  <xsd:element ref="ns2:SharedWithUsers" minOccurs="0"/>
                <xsd:element ref="ns4:SiteId0" minOccurs="0"/>
                <xsd:element ref="ns4:WebId0" minOccurs="0"/>
                <xsd:element ref="ns4:ListId0" minOccurs="0"/>
                <xsd:element ref="ns4:FieldName0" minOccurs="0"/>
                <xsd:element ref="ns4:ItemId0" minOccurs="0"/>
                <xsd:element ref="ns4:Sorting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f88c-bd47-4408-9cff-6a35ee0b3946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dexed="true" ma:internalName="SiteId">
      <xsd:simpleType>
        <xsd:restriction base="dms:Text"/>
      </xsd:simpleType>
    </xsd:element>
    <xsd:element name="WebId" ma:index="12" nillable="true" ma:displayName="WebId" ma:indexed="true" ma:internalName="WebId">
      <xsd:simpleType>
        <xsd:restriction base="dms:Text"/>
      </xsd:simpleType>
    </xsd:element>
    <xsd:element name="ListId" ma:index="13" nillable="true" ma:displayName="ListId" ma:indexed="true" ma:internalName="ListId">
      <xsd:simpleType>
        <xsd:restriction base="dms:Text"/>
      </xsd:simpleType>
    </xsd:element>
    <xsd:element name="FieldName" ma:index="14" nillable="true" ma:displayName="FieldName" ma:indexed="true" ma:internalName="FieldName">
      <xsd:simpleType>
        <xsd:restriction base="dms:Text"/>
      </xsd:simpleType>
    </xsd:element>
    <xsd:element name="ItemId" ma:index="15" nillable="true" ma:displayName="ItemId" ma:indexed="true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1268-c313-4c88-a7d8-4dfb6146562e" elementFormDefault="qualified">
    <xsd:import namespace="http://schemas.microsoft.com/office/2006/documentManagement/types"/>
    <xsd:import namespace="http://schemas.microsoft.com/office/infopath/2007/PartnerControls"/>
    <xsd:element name="SiteId0" ma:index="18" nillable="true" ma:displayName="SiteId" ma:internalName="SiteId0">
      <xsd:simpleType>
        <xsd:restriction base="dms:Text"/>
      </xsd:simpleType>
    </xsd:element>
    <xsd:element name="WebId0" ma:index="19" nillable="true" ma:displayName="WebId" ma:internalName="WebId0">
      <xsd:simpleType>
        <xsd:restriction base="dms:Text"/>
      </xsd:simpleType>
    </xsd:element>
    <xsd:element name="ListId0" ma:index="20" nillable="true" ma:displayName="ListId" ma:internalName="ListId0">
      <xsd:simpleType>
        <xsd:restriction base="dms:Text"/>
      </xsd:simpleType>
    </xsd:element>
    <xsd:element name="FieldName0" ma:index="21" nillable="true" ma:displayName="FieldName" ma:internalName="FieldName0">
      <xsd:simpleType>
        <xsd:restriction base="dms:Text"/>
      </xsd:simpleType>
    </xsd:element>
    <xsd:element name="ItemId0" ma:index="22" nillable="true" ma:displayName="ItemId" ma:internalName="ItemId0">
      <xsd:simpleType>
        <xsd:restriction base="dms:Number"/>
      </xsd:simpleType>
    </xsd:element>
    <xsd:element name="Sorting0" ma:index="23" nillable="true" ma:displayName="Sorting" ma:internalName="Sorting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Name0 xmlns="6f5c1268-c313-4c88-a7d8-4dfb6146562e" xsi:nil="true"/>
    <FieldName xmlns="62edf88c-bd47-4408-9cff-6a35ee0b3946">DocumentEnclosures</FieldName>
    <WebId xmlns="62edf88c-bd47-4408-9cff-6a35ee0b3946">a53db075-6001-42ae-9e6c-e743b1df4f94</WebId>
    <SiteId0 xmlns="6f5c1268-c313-4c88-a7d8-4dfb6146562e" xsi:nil="true"/>
    <ListId0 xmlns="6f5c1268-c313-4c88-a7d8-4dfb6146562e" xsi:nil="true"/>
    <WebId0 xmlns="6f5c1268-c313-4c88-a7d8-4dfb6146562e" xsi:nil="true"/>
    <ItemId0 xmlns="6f5c1268-c313-4c88-a7d8-4dfb6146562e" xsi:nil="true"/>
    <ItemId xmlns="62edf88c-bd47-4408-9cff-6a35ee0b3946">227608</ItemId>
    <ListId xmlns="62edf88c-bd47-4408-9cff-6a35ee0b3946">4ce9d90b-cc2e-4877-8f75-acd5d085a607</ListId>
    <SiteId xmlns="62edf88c-bd47-4408-9cff-6a35ee0b3946">a89c8e85-d29c-4061-bff8-670dfe56a2e7</SiteId>
    <Sorting0 xmlns="6f5c1268-c313-4c88-a7d8-4dfb6146562e" xsi:nil="true"/>
    <Sorting xmlns="62edf88c-bd47-4408-9cff-6a35ee0b3946" xsi:nil="true"/>
    <_dlc_DocId xmlns="e8510b5f-6aa8-4b41-ad21-0333e6d625da">QJYPEZHFX43C-901196160-66666</_dlc_DocId>
    <_dlc_DocIdUrl xmlns="e8510b5f-6aa8-4b41-ad21-0333e6d625da">
      <Url>http://docs.cpcpipe.ru/sites/files2022/_layouts/15/DocIdRedir.aspx?ID=QJYPEZHFX43C-901196160-66666</Url>
      <Description>QJYPEZHFX43C-901196160-66666</Description>
    </_dlc_DocIdUrl>
  </documentManagement>
</p:properties>
</file>

<file path=customXml/itemProps1.xml><?xml version="1.0" encoding="utf-8"?>
<ds:datastoreItem xmlns:ds="http://schemas.openxmlformats.org/officeDocument/2006/customXml" ds:itemID="{A74834E8-1F8A-4689-B5D4-6243A9F073C7}"/>
</file>

<file path=customXml/itemProps2.xml><?xml version="1.0" encoding="utf-8"?>
<ds:datastoreItem xmlns:ds="http://schemas.openxmlformats.org/officeDocument/2006/customXml" ds:itemID="{8332E2E8-6D1E-4E54-AB0B-934A265328A6}"/>
</file>

<file path=customXml/itemProps3.xml><?xml version="1.0" encoding="utf-8"?>
<ds:datastoreItem xmlns:ds="http://schemas.openxmlformats.org/officeDocument/2006/customXml" ds:itemID="{7A58E836-0A1D-4AD7-8471-3D9F64950CE9}"/>
</file>

<file path=customXml/itemProps4.xml><?xml version="1.0" encoding="utf-8"?>
<ds:datastoreItem xmlns:ds="http://schemas.openxmlformats.org/officeDocument/2006/customXml" ds:itemID="{E460777B-E317-4C05-8A52-8922BEEFC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2328</Words>
  <Characters>13270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16</cp:revision>
  <cp:lastPrinted>2022-03-17T06:30:00Z</cp:lastPrinted>
  <dcterms:created xsi:type="dcterms:W3CDTF">2022-03-17T09:23:00Z</dcterms:created>
  <dcterms:modified xsi:type="dcterms:W3CDTF">2022-03-21T09:35:00Z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0x010100F00399A9279CB549876302B0C953BF29</vt:lpwstr>
  </property>
  <property fmtid="{D5CDD505-2E9C-101B-9397-08002B2CF9AE}" pid="3" name="_dlc_DocIdItemGuid">
    <vt:lpwstr>96c7b56d-8003-4453-95cc-633d4720649a</vt:lpwstr>
  </property>
</Properties>
</file>